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มคอ.3 รายละเอียดรายวิชา (ฉบับย่อ)</w:t>
      </w: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B0274" w:rsidRPr="00A92C74" w:rsidRDefault="00FB0274" w:rsidP="00FB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A92C74" w:rsidRDefault="00FB0274" w:rsidP="00FB027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</w:t>
      </w:r>
      <w:r w:rsidRPr="00011093">
        <w:rPr>
          <w:rFonts w:ascii="TH SarabunPSK" w:hAnsi="TH SarabunPSK" w:cs="TH SarabunPSK"/>
          <w:b/>
          <w:bCs/>
          <w:sz w:val="36"/>
          <w:szCs w:val="36"/>
        </w:rPr>
        <w:t>03</w:t>
      </w: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24520 ชื่อวิชา ปรัชญาการศึกษาและการพัฒนาหลักสูตร</w:t>
      </w: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ชื่อวิชาภาษาอังกฤ</w:t>
      </w:r>
      <w:r w:rsidRPr="005461C9">
        <w:rPr>
          <w:rFonts w:ascii="TH SarabunPSK" w:hAnsi="TH SarabunPSK" w:cs="TH SarabunPSK"/>
          <w:b/>
          <w:bCs/>
          <w:sz w:val="36"/>
          <w:szCs w:val="36"/>
          <w:cs/>
        </w:rPr>
        <w:t xml:space="preserve">ษ </w:t>
      </w:r>
      <w:r w:rsidRPr="005461C9">
        <w:rPr>
          <w:rFonts w:ascii="TH SarabunPSK" w:hAnsi="TH SarabunPSK" w:cs="TH SarabunPSK"/>
          <w:b/>
          <w:bCs/>
          <w:sz w:val="36"/>
          <w:szCs w:val="36"/>
        </w:rPr>
        <w:t>Educational Philosophy and Curriculum Development</w:t>
      </w:r>
    </w:p>
    <w:p w:rsidR="00FB0274" w:rsidRPr="00A92C74" w:rsidRDefault="00FB0274" w:rsidP="00FB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A92C74" w:rsidRDefault="00FB0274" w:rsidP="00FB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A92C74" w:rsidRDefault="00FB0274" w:rsidP="00FB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A92C74" w:rsidRDefault="00FB0274" w:rsidP="00FB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A92C74" w:rsidRDefault="00FB0274" w:rsidP="00FB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รายวิชานี้เป็นส่วนหนึ่งของหลักสูตรการศึกษามหาบัณฑิตสาขาวิชาหลักสูตรและการสอน</w:t>
      </w: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 พ.ศ.2565</w:t>
      </w: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Pr="00011093" w:rsidRDefault="00FB0274" w:rsidP="00FB027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Pr="00011093" w:rsidRDefault="00FB0274" w:rsidP="00FB027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คณะศึกษาศาสตร์</w:t>
      </w:r>
    </w:p>
    <w:p w:rsidR="00FB0274" w:rsidRPr="00011093" w:rsidRDefault="00FB0274" w:rsidP="00FB027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1109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FB0274" w:rsidRPr="00011093" w:rsidRDefault="00FB0274" w:rsidP="00FB027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Pr="00A92C74" w:rsidRDefault="00FB0274" w:rsidP="00FB027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274" w:rsidRDefault="00FB0274" w:rsidP="00FB0274">
      <w:pPr>
        <w:rPr>
          <w:rFonts w:ascii="TH SarabunPSK" w:hAnsi="TH SarabunPSK" w:cs="TH SarabunPSK"/>
          <w:sz w:val="32"/>
          <w:szCs w:val="32"/>
        </w:rPr>
      </w:pPr>
    </w:p>
    <w:p w:rsidR="00FB0274" w:rsidRDefault="00FB0274" w:rsidP="00FB0274">
      <w:pPr>
        <w:rPr>
          <w:rFonts w:ascii="TH SarabunPSK" w:hAnsi="TH SarabunPSK" w:cs="TH SarabunPSK"/>
          <w:sz w:val="32"/>
          <w:szCs w:val="32"/>
        </w:rPr>
      </w:pPr>
    </w:p>
    <w:p w:rsidR="00FB0274" w:rsidRDefault="00FB0274" w:rsidP="00FB0274">
      <w:pPr>
        <w:rPr>
          <w:rFonts w:ascii="TH SarabunPSK" w:hAnsi="TH SarabunPSK" w:cs="TH SarabunPSK"/>
          <w:sz w:val="32"/>
          <w:szCs w:val="32"/>
        </w:rPr>
      </w:pPr>
    </w:p>
    <w:p w:rsidR="00FB0274" w:rsidRPr="00A92C74" w:rsidRDefault="00FB0274" w:rsidP="00FB0274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FB0274" w:rsidRPr="00A92C74" w:rsidRDefault="00FB0274" w:rsidP="00FB0274">
      <w:pPr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FB0274" w:rsidRPr="00A92C74" w:rsidRDefault="00FB0274" w:rsidP="00FB0274">
      <w:pPr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sz w:val="32"/>
          <w:szCs w:val="32"/>
          <w:cs/>
        </w:rPr>
        <w:t>คณะศึกษาศาสตร์ สาขาวิชาหลักสูตรและการสอน</w:t>
      </w:r>
    </w:p>
    <w:p w:rsidR="00FB0274" w:rsidRPr="00A92C74" w:rsidRDefault="00FB0274" w:rsidP="00FB0274">
      <w:pPr>
        <w:rPr>
          <w:rFonts w:ascii="TH SarabunPSK" w:hAnsi="TH SarabunPSK" w:cs="TH SarabunPSK"/>
          <w:cs/>
        </w:rPr>
      </w:pPr>
    </w:p>
    <w:p w:rsidR="00FB0274" w:rsidRDefault="00FB0274" w:rsidP="00FB0274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</w:p>
    <w:p w:rsidR="00FB0274" w:rsidRPr="0005598F" w:rsidRDefault="00FB0274" w:rsidP="00FB0274">
      <w:pPr>
        <w:tabs>
          <w:tab w:val="left" w:pos="426"/>
          <w:tab w:val="left" w:pos="10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05598F">
        <w:rPr>
          <w:rFonts w:ascii="TH SarabunPSK" w:hAnsi="TH SarabunPSK" w:cs="TH SarabunPSK"/>
          <w:sz w:val="32"/>
          <w:szCs w:val="32"/>
          <w:rtl/>
          <w:cs/>
        </w:rPr>
        <w:t>0324</w:t>
      </w:r>
      <w:r w:rsidRPr="0005598F">
        <w:rPr>
          <w:rFonts w:ascii="TH SarabunPSK" w:hAnsi="TH SarabunPSK" w:cs="TH SarabunPSK"/>
          <w:sz w:val="32"/>
          <w:szCs w:val="32"/>
        </w:rPr>
        <w:t>520</w:t>
      </w:r>
      <w:r w:rsidRPr="000559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598F">
        <w:rPr>
          <w:rFonts w:ascii="TH SarabunPSK" w:hAnsi="TH SarabunPSK" w:cs="TH SarabunPSK"/>
          <w:sz w:val="32"/>
          <w:szCs w:val="32"/>
          <w:cs/>
        </w:rPr>
        <w:t>ปรัชญาการศึกษาและการพัฒนาหลักสูตร</w:t>
      </w:r>
      <w:r w:rsidRPr="0005598F">
        <w:rPr>
          <w:rFonts w:ascii="TH SarabunPSK" w:hAnsi="TH SarabunPSK" w:cs="TH SarabunPSK"/>
          <w:sz w:val="32"/>
          <w:szCs w:val="32"/>
        </w:rPr>
        <w:tab/>
      </w:r>
      <w:r w:rsidRPr="0005598F">
        <w:rPr>
          <w:rFonts w:ascii="TH SarabunPSK" w:hAnsi="TH SarabunPSK" w:cs="TH SarabunPSK"/>
          <w:sz w:val="32"/>
          <w:szCs w:val="32"/>
        </w:rPr>
        <w:tab/>
      </w:r>
      <w:r w:rsidRPr="0005598F">
        <w:rPr>
          <w:rFonts w:ascii="TH SarabunPSK" w:hAnsi="TH SarabunPSK" w:cs="TH SarabunPSK"/>
          <w:sz w:val="32"/>
          <w:szCs w:val="32"/>
        </w:rPr>
        <w:tab/>
      </w:r>
      <w:r w:rsidRPr="0005598F">
        <w:rPr>
          <w:rFonts w:ascii="TH SarabunPSK" w:hAnsi="TH SarabunPSK" w:cs="TH SarabunPSK"/>
          <w:sz w:val="32"/>
          <w:szCs w:val="32"/>
        </w:rPr>
        <w:tab/>
      </w:r>
      <w:r w:rsidRPr="0005598F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B0274" w:rsidRDefault="00FB0274" w:rsidP="00FB0274">
      <w:pPr>
        <w:ind w:left="556" w:firstLine="164"/>
        <w:rPr>
          <w:rFonts w:ascii="TH SarabunPSK" w:hAnsi="TH SarabunPSK" w:cs="TH SarabunPSK"/>
          <w:sz w:val="32"/>
          <w:szCs w:val="32"/>
        </w:rPr>
      </w:pPr>
      <w:r w:rsidRPr="0005598F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05598F">
        <w:rPr>
          <w:rFonts w:ascii="TH SarabunPSK" w:hAnsi="TH SarabunPSK" w:cs="TH SarabunPSK" w:hint="cs"/>
          <w:sz w:val="32"/>
          <w:szCs w:val="32"/>
          <w:cs/>
        </w:rPr>
        <w:tab/>
      </w:r>
      <w:r w:rsidRPr="0005598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5598F">
        <w:rPr>
          <w:rFonts w:ascii="TH SarabunPSK" w:hAnsi="TH SarabunPSK" w:cs="TH SarabunPSK"/>
          <w:sz w:val="32"/>
          <w:szCs w:val="32"/>
        </w:rPr>
        <w:t xml:space="preserve"> Educational Philosophy and Curriculum Development</w:t>
      </w:r>
    </w:p>
    <w:p w:rsidR="00FB0274" w:rsidRPr="0005598F" w:rsidRDefault="00FB0274" w:rsidP="00FB02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598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05598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B0274" w:rsidRPr="00C724DB" w:rsidRDefault="00FB0274" w:rsidP="00FB0274">
      <w:pPr>
        <w:ind w:firstLine="5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24DB">
        <w:rPr>
          <w:rFonts w:ascii="TH SarabunPSK" w:hAnsi="TH SarabunPSK" w:cs="TH SarabunPSK"/>
          <w:sz w:val="32"/>
          <w:szCs w:val="32"/>
          <w:cs/>
        </w:rPr>
        <w:t>ปรัชญา แนวคิดและทฤษฎีทางการศึกษา ประวัติคว</w:t>
      </w:r>
      <w:r>
        <w:rPr>
          <w:rFonts w:ascii="TH SarabunPSK" w:hAnsi="TH SarabunPSK" w:cs="TH SarabunPSK"/>
          <w:sz w:val="32"/>
          <w:szCs w:val="32"/>
          <w:cs/>
        </w:rPr>
        <w:t>ามเป็นมาและระบบการศึกษาไทย ทฤษฎี</w:t>
      </w:r>
      <w:r w:rsidRPr="00C724DB">
        <w:rPr>
          <w:rFonts w:ascii="TH SarabunPSK" w:hAnsi="TH SarabunPSK" w:cs="TH SarabunPSK"/>
          <w:sz w:val="32"/>
          <w:szCs w:val="32"/>
          <w:cs/>
        </w:rPr>
        <w:t>หลักสูตร กระบวนการพัฒนาหลักสูตร การประเมินหลักสูตร แนวโน้มในการพัฒนาหลักสูตร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นวัตกรรมหลักการ บูรณาการเทคโนโลยี สาระความรู้และศาสตร์การสอนมาเป็นทฤษฎีในการ</w:t>
      </w:r>
      <w:r w:rsidRPr="00C724DB">
        <w:rPr>
          <w:rFonts w:ascii="TH SarabunPSK" w:hAnsi="TH SarabunPSK" w:cs="TH SarabunPSK"/>
          <w:sz w:val="32"/>
          <w:szCs w:val="32"/>
          <w:cs/>
        </w:rPr>
        <w:t>พัฒนาหลักสูตร การวิเคราะห์หลักสูตรของไทยและต่างประเทศ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คุณธรรมนักพัฒนาหลักสูตร</w:t>
      </w:r>
      <w:r w:rsidRPr="00C724DB">
        <w:rPr>
          <w:rFonts w:ascii="TH SarabunPSK" w:hAnsi="TH SarabunPSK" w:cs="TH SarabunPSK"/>
          <w:sz w:val="32"/>
          <w:szCs w:val="32"/>
          <w:cs/>
        </w:rPr>
        <w:t xml:space="preserve"> ฝึกปฏิบัติในการพัฒนาหลัก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C724DB">
        <w:rPr>
          <w:rFonts w:ascii="TH SarabunPSK" w:hAnsi="TH SarabunPSK" w:cs="TH SarabunPSK"/>
          <w:sz w:val="32"/>
          <w:szCs w:val="32"/>
          <w:cs/>
        </w:rPr>
        <w:t>สูตรทุกระดับการศึกษา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0274" w:rsidRPr="005F2922" w:rsidRDefault="00FB0274" w:rsidP="00FB027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5202">
        <w:rPr>
          <w:rFonts w:ascii="TH SarabunPSK" w:hAnsi="TH SarabunPSK" w:cs="TH SarabunPSK"/>
          <w:sz w:val="32"/>
          <w:szCs w:val="32"/>
        </w:rPr>
        <w:t>Philosophy,</w:t>
      </w:r>
      <w:r>
        <w:rPr>
          <w:rFonts w:ascii="TH SarabunPSK" w:hAnsi="TH SarabunPSK" w:cs="TH SarabunPSK"/>
          <w:sz w:val="32"/>
          <w:szCs w:val="32"/>
        </w:rPr>
        <w:t xml:space="preserve"> concept and educational theory,</w:t>
      </w:r>
      <w:r w:rsidRPr="00B45202">
        <w:rPr>
          <w:rFonts w:ascii="TH SarabunPSK" w:hAnsi="TH SarabunPSK" w:cs="TH SarabunPSK"/>
          <w:sz w:val="32"/>
          <w:szCs w:val="32"/>
        </w:rPr>
        <w:t xml:space="preserve"> Thai e</w:t>
      </w:r>
      <w:r>
        <w:rPr>
          <w:rFonts w:ascii="TH SarabunPSK" w:hAnsi="TH SarabunPSK" w:cs="TH SarabunPSK"/>
          <w:sz w:val="32"/>
          <w:szCs w:val="32"/>
        </w:rPr>
        <w:t>ducational system and history, T</w:t>
      </w:r>
      <w:r w:rsidRPr="00B45202">
        <w:rPr>
          <w:rFonts w:ascii="TH SarabunPSK" w:hAnsi="TH SarabunPSK" w:cs="TH SarabunPSK"/>
          <w:sz w:val="32"/>
          <w:szCs w:val="32"/>
        </w:rPr>
        <w:t>hai visions and educational plan, theory of curricu</w:t>
      </w:r>
      <w:r>
        <w:rPr>
          <w:rFonts w:ascii="TH SarabunPSK" w:hAnsi="TH SarabunPSK" w:cs="TH SarabunPSK"/>
          <w:sz w:val="32"/>
          <w:szCs w:val="32"/>
        </w:rPr>
        <w:t>lu</w:t>
      </w:r>
      <w:r w:rsidRPr="00B45202">
        <w:rPr>
          <w:rFonts w:ascii="TH SarabunPSK" w:hAnsi="TH SarabunPSK" w:cs="TH SarabunPSK"/>
          <w:sz w:val="32"/>
          <w:szCs w:val="32"/>
        </w:rPr>
        <w:t>m, curriculum development process, curriculum evaluation, tre</w:t>
      </w:r>
      <w:r>
        <w:rPr>
          <w:rFonts w:ascii="TH SarabunPSK" w:hAnsi="TH SarabunPSK" w:cs="TH SarabunPSK"/>
          <w:sz w:val="32"/>
          <w:szCs w:val="32"/>
        </w:rPr>
        <w:t>nds in curriculum development, e</w:t>
      </w:r>
      <w:r w:rsidRPr="00B45202">
        <w:rPr>
          <w:rFonts w:ascii="TH SarabunPSK" w:hAnsi="TH SarabunPSK" w:cs="TH SarabunPSK"/>
          <w:sz w:val="32"/>
          <w:szCs w:val="32"/>
        </w:rPr>
        <w:t>thic for curriculum developer, analysis of Thai and international curriculum, practicum in all level of curriculum</w:t>
      </w:r>
    </w:p>
    <w:p w:rsidR="00FB0274" w:rsidRPr="00A92C74" w:rsidRDefault="00FB0274" w:rsidP="00FB0274">
      <w:pPr>
        <w:outlineLvl w:val="6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2. จำนวนหน่วยกิต</w:t>
      </w:r>
    </w:p>
    <w:p w:rsidR="00FB0274" w:rsidRPr="00A92C74" w:rsidRDefault="00FB0274" w:rsidP="00FB027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3(2-2-5)</w:t>
      </w:r>
    </w:p>
    <w:p w:rsidR="00FB0274" w:rsidRPr="00A92C74" w:rsidRDefault="00FB0274" w:rsidP="00FB0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.จุดมุ่งหมายของรายวิชา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มีความรู้ความเข้าใจเกี่ยวกับปรัชญา แนวคิด ทฤษฎี ความเป็นมาและระบบการศึกษาไทย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มีความรู้ความเข้าใจเกี่ยวกับลักษณะการจัดการศึกษาตามพระราชบัญญัติการศึกษาแห่งชาติ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มีความรู้ความเข้าใจเกี่ยวกับวิสัยทัศน์และแผนพัฒนาการศึกษาแห่งชาติของไทย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มีความรู้ความเข้าใจเกี่ยวกับทฤษฎีหลักสูตรกระบวนการพัฒนาหลักสูตร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มีความสามารถในการวิเคราะห์และสังเคราะห์ระบบหลักสูตรและการสอน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มีความสามารถในการการพัฒนาหลักสูตร</w:t>
      </w:r>
    </w:p>
    <w:p w:rsidR="00FB0274" w:rsidRPr="00A92C74" w:rsidRDefault="00FB0274" w:rsidP="00FB0274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มีคุณธรรมและจรรยาบรรณของนักพัฒนาหลักสูตร</w:t>
      </w:r>
    </w:p>
    <w:p w:rsidR="00FB0274" w:rsidRPr="00A92C74" w:rsidRDefault="00FB0274" w:rsidP="00FB0274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.วัตถุประสงค์ในการพัฒนา/ปรับปรุงรายวิชา</w:t>
      </w:r>
    </w:p>
    <w:p w:rsidR="00FB0274" w:rsidRPr="00A92C74" w:rsidRDefault="00FB0274" w:rsidP="00FB0274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szCs w:val="32"/>
          <w:cs/>
        </w:rPr>
        <w:t>เพื่อให้ผู้เรียนมีความรู้ความเข้าใจเกี่ยวกับแนวคิด ทฤษฎี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ความเป็นมาและระบบการศึกษาไทย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FB0274" w:rsidRPr="00011093" w:rsidRDefault="00FB0274" w:rsidP="00FB02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>ลักษณะการจัดการศึกษาตามพระราชบัญญัติการศึกษาแห่งชาติ  วิสัยทัศน์และแผนพัฒนาการศึกษาแห่งชาติของไทย  ทฤษฎีหลักสูตรกระบวนการพัฒนาหลักสูตร  ตลอดจนมีความสามารถในการวิเคราะห์และสังเคราะห์ระบบหลักสูตรและการสอน  สู่การพัฒนาหลักสูตร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และเป็นไปตาม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มาตรฐานตามกรอบมาตรฐานคุณวุฒิระดับอุดมศึกษาแห่งชาติพ.ศ. </w:t>
      </w:r>
      <w:r w:rsidRPr="00A92C74">
        <w:rPr>
          <w:rFonts w:ascii="TH SarabunPSK" w:hAnsi="TH SarabunPSK" w:cs="TH SarabunPSK"/>
          <w:sz w:val="32"/>
          <w:szCs w:val="32"/>
        </w:rPr>
        <w:t xml:space="preserve">2552 </w:t>
      </w:r>
      <w:r w:rsidRPr="00A92C74">
        <w:rPr>
          <w:rFonts w:ascii="TH SarabunPSK" w:hAnsi="TH SarabunPSK" w:cs="TH SarabunPSK"/>
          <w:sz w:val="32"/>
          <w:szCs w:val="32"/>
          <w:cs/>
        </w:rPr>
        <w:t>และมาตรฐานคุณวุฒิระดับบัณฑิตศึกษา(มคอ.</w:t>
      </w:r>
      <w:r w:rsidRPr="00A92C74">
        <w:rPr>
          <w:rFonts w:ascii="TH SarabunPSK" w:hAnsi="TH SarabunPSK" w:cs="TH SarabunPSK"/>
          <w:sz w:val="32"/>
          <w:szCs w:val="32"/>
        </w:rPr>
        <w:t>1</w:t>
      </w:r>
      <w:r w:rsidRPr="00A92C74">
        <w:rPr>
          <w:rFonts w:ascii="TH SarabunPSK" w:hAnsi="TH SarabunPSK" w:cs="TH SarabunPSK"/>
          <w:sz w:val="32"/>
          <w:szCs w:val="32"/>
          <w:cs/>
        </w:rPr>
        <w:t>) ทางด้านศึกษาศาสตร์/ครุศาสตร์</w:t>
      </w:r>
    </w:p>
    <w:p w:rsidR="00FB0274" w:rsidRDefault="00FB0274" w:rsidP="00FB0274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Default="00FB0274" w:rsidP="00FB0274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Default="00FB0274" w:rsidP="00FB0274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0274" w:rsidRDefault="00FB0274" w:rsidP="00FB0274">
      <w:pPr>
        <w:tabs>
          <w:tab w:val="left" w:pos="146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องนิสิต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FB0274" w:rsidRPr="00A92C74" w:rsidRDefault="00FB0274" w:rsidP="00FB0274">
      <w:pPr>
        <w:tabs>
          <w:tab w:val="left" w:pos="146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618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47"/>
        <w:gridCol w:w="347"/>
        <w:gridCol w:w="348"/>
        <w:gridCol w:w="348"/>
        <w:gridCol w:w="348"/>
        <w:gridCol w:w="348"/>
        <w:gridCol w:w="348"/>
        <w:gridCol w:w="347"/>
      </w:tblGrid>
      <w:tr w:rsidR="00FB0274" w:rsidRPr="00A92C74" w:rsidTr="00D126C5">
        <w:trPr>
          <w:cantSplit/>
          <w:trHeight w:val="262"/>
          <w:tblHeader/>
        </w:trPr>
        <w:tc>
          <w:tcPr>
            <w:tcW w:w="5000" w:type="pct"/>
            <w:gridSpan w:val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lastRenderedPageBreak/>
              <w:t>TQF</w:t>
            </w:r>
          </w:p>
        </w:tc>
      </w:tr>
      <w:tr w:rsidR="00FB0274" w:rsidRPr="00A92C74" w:rsidTr="00D126C5">
        <w:trPr>
          <w:cantSplit/>
          <w:trHeight w:val="1347"/>
          <w:tblHeader/>
        </w:trPr>
        <w:tc>
          <w:tcPr>
            <w:tcW w:w="429" w:type="pct"/>
            <w:vMerge w:val="restar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55" w:type="pct"/>
            <w:gridSpan w:val="4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1.ด้านคุณธรรม จริยธรรม</w:t>
            </w:r>
          </w:p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</w:p>
        </w:tc>
        <w:tc>
          <w:tcPr>
            <w:tcW w:w="416" w:type="pct"/>
            <w:gridSpan w:val="3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34" w:type="pct"/>
            <w:gridSpan w:val="6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695" w:type="pct"/>
            <w:gridSpan w:val="5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53" w:type="pct"/>
            <w:gridSpan w:val="11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.การจัดการเรียนรู้และบูรณาการอัตลักษณ์</w:t>
            </w:r>
          </w:p>
        </w:tc>
      </w:tr>
      <w:tr w:rsidR="00FB0274" w:rsidRPr="00A92C74" w:rsidTr="00D126C5">
        <w:trPr>
          <w:cantSplit/>
          <w:trHeight w:val="243"/>
          <w:tblHeader/>
        </w:trPr>
        <w:tc>
          <w:tcPr>
            <w:tcW w:w="429" w:type="pct"/>
            <w:vMerge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77" w:type="pct"/>
            <w:gridSpan w:val="2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1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2</w:t>
            </w:r>
          </w:p>
        </w:tc>
        <w:tc>
          <w:tcPr>
            <w:tcW w:w="416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3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4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5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6</w:t>
            </w:r>
          </w:p>
        </w:tc>
        <w:tc>
          <w:tcPr>
            <w:tcW w:w="278" w:type="pct"/>
            <w:gridSpan w:val="2"/>
            <w:shd w:val="clear" w:color="auto" w:fill="DEEAF6" w:themeFill="accent1" w:themeFillTint="33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7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8</w:t>
            </w:r>
          </w:p>
        </w:tc>
        <w:tc>
          <w:tcPr>
            <w:tcW w:w="417" w:type="pct"/>
            <w:gridSpan w:val="3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9</w:t>
            </w:r>
          </w:p>
        </w:tc>
        <w:tc>
          <w:tcPr>
            <w:tcW w:w="312" w:type="pct"/>
            <w:gridSpan w:val="2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2"/>
                <w:szCs w:val="12"/>
                <w:cs/>
              </w:rPr>
              <w:t xml:space="preserve"> 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gridSpan w:val="2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 11</w:t>
            </w:r>
          </w:p>
        </w:tc>
        <w:tc>
          <w:tcPr>
            <w:tcW w:w="611" w:type="pct"/>
            <w:gridSpan w:val="4"/>
            <w:shd w:val="clear" w:color="auto" w:fill="DEEAF6" w:themeFill="accent1" w:themeFillTint="33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  <w:lang w:val="en-US"/>
              </w:rPr>
              <w:t>P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LO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2"/>
                <w:szCs w:val="12"/>
                <w:cs/>
              </w:rPr>
              <w:t xml:space="preserve"> </w:t>
            </w:r>
            <w:r w:rsidRPr="00011093">
              <w:rPr>
                <w:rFonts w:ascii="TH SarabunPSK" w:eastAsia="Cordia New" w:hAnsi="TH SarabunPSK" w:cs="TH SarabunPSK"/>
                <w:color w:val="000000" w:themeColor="text1"/>
                <w:sz w:val="16"/>
                <w:szCs w:val="16"/>
              </w:rPr>
              <w:t>12</w:t>
            </w:r>
          </w:p>
        </w:tc>
      </w:tr>
      <w:tr w:rsidR="00FB0274" w:rsidRPr="00A92C74" w:rsidTr="00D126C5">
        <w:trPr>
          <w:cantSplit/>
          <w:trHeight w:val="243"/>
          <w:tblHeader/>
        </w:trPr>
        <w:tc>
          <w:tcPr>
            <w:tcW w:w="429" w:type="pct"/>
            <w:vMerge/>
            <w:shd w:val="clear" w:color="auto" w:fill="DEEAF6" w:themeFill="accent1" w:themeFillTint="33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1.1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2.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4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4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4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5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5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5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6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6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6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7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7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8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8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8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9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9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9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9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10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10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11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11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12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12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56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12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43" w:type="pct"/>
            <w:shd w:val="clear" w:color="auto" w:fill="DEEAF6" w:themeFill="accent1" w:themeFillTint="33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</w:pP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12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  <w:cs/>
              </w:rPr>
              <w:t>.</w:t>
            </w:r>
            <w:r w:rsidRPr="000110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</w:tr>
      <w:tr w:rsidR="00FB0274" w:rsidRPr="00A92C74" w:rsidTr="00D126C5">
        <w:trPr>
          <w:trHeight w:val="749"/>
        </w:trPr>
        <w:tc>
          <w:tcPr>
            <w:tcW w:w="429" w:type="pct"/>
            <w:vAlign w:val="center"/>
          </w:tcPr>
          <w:p w:rsidR="00FB0274" w:rsidRPr="00011093" w:rsidRDefault="00FB0274" w:rsidP="00D126C5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ปรัชญาการศึกษาและการพัฒนาหลักสูตร</w:t>
            </w:r>
          </w:p>
          <w:p w:rsidR="00FB0274" w:rsidRPr="00011093" w:rsidRDefault="00FB0274" w:rsidP="00D126C5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val="en-US"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  <w:lang w:val="en-US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imes New Roman"/>
                <w:b/>
                <w:bCs/>
                <w:color w:val="000000" w:themeColor="text1"/>
                <w:sz w:val="10"/>
                <w:szCs w:val="10"/>
                <w:rtl/>
                <w:lang w:bidi="ar-SA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0098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39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56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  <w:tc>
          <w:tcPr>
            <w:tcW w:w="143" w:type="pct"/>
            <w:vAlign w:val="center"/>
          </w:tcPr>
          <w:p w:rsidR="00FB0274" w:rsidRPr="00011093" w:rsidRDefault="00FB0274" w:rsidP="00D126C5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  <w:r w:rsidRPr="00011093"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  <w:sym w:font="Wingdings 2" w:char="F081"/>
            </w:r>
          </w:p>
        </w:tc>
      </w:tr>
    </w:tbl>
    <w:p w:rsidR="00FB0274" w:rsidRPr="00A92C74" w:rsidRDefault="00FB0274" w:rsidP="00FB027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3153"/>
        <w:gridCol w:w="2958"/>
        <w:gridCol w:w="3302"/>
      </w:tblGrid>
      <w:tr w:rsidR="00FB0274" w:rsidRPr="00A92C74" w:rsidTr="00D126C5">
        <w:trPr>
          <w:trHeight w:val="452"/>
          <w:tblHeader/>
        </w:trPr>
        <w:tc>
          <w:tcPr>
            <w:tcW w:w="3940" w:type="dxa"/>
            <w:gridSpan w:val="2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58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05598F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2958" w:type="dxa"/>
            <w:vMerge w:val="restart"/>
          </w:tcPr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B0274" w:rsidRPr="00A92C74" w:rsidRDefault="00FB0274" w:rsidP="00D126C5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FB0274" w:rsidRPr="00A92C74" w:rsidRDefault="00FB0274" w:rsidP="00D126C5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05598F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2958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05598F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2958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05598F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2958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2958" w:type="dxa"/>
            <w:vMerge w:val="restart"/>
            <w:shd w:val="clear" w:color="auto" w:fill="FFFF00"/>
          </w:tcPr>
          <w:p w:rsidR="00FB0274" w:rsidRPr="00991C3A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color w:val="FF0000"/>
                <w:sz w:val="32"/>
                <w:szCs w:val="32"/>
                <w:highlight w:val="yellow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  <w:shd w:val="clear" w:color="auto" w:fill="FFFF00"/>
          </w:tcPr>
          <w:p w:rsidR="00FB0274" w:rsidRPr="00991C3A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highlight w:val="yellow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46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2958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805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1109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>. ทักษะความสัมพันธ์ระหว่างบุคคลและความรับผิดชอบ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2958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2958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97"/>
        </w:trPr>
        <w:tc>
          <w:tcPr>
            <w:tcW w:w="10200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2958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12.1 วางแผนด้วยกระบวนการด้านหลักสูตร 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B0274" w:rsidRPr="00A92C74" w:rsidTr="00D126C5">
        <w:trPr>
          <w:trHeight w:val="343"/>
        </w:trPr>
        <w:tc>
          <w:tcPr>
            <w:tcW w:w="787" w:type="dxa"/>
            <w:tcBorders>
              <w:righ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:rsidR="00FB0274" w:rsidRPr="00A92C74" w:rsidRDefault="00FB0274" w:rsidP="00D126C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2958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00"/>
          </w:tcPr>
          <w:p w:rsidR="00FB0274" w:rsidRPr="00A92C74" w:rsidRDefault="00FB0274" w:rsidP="00D126C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B0274" w:rsidRPr="00A92C74" w:rsidRDefault="00FB0274" w:rsidP="00FB0274">
      <w:pPr>
        <w:rPr>
          <w:rFonts w:ascii="TH SarabunPSK" w:hAnsi="TH SarabunPSK" w:cs="TH SarabunPSK"/>
          <w:sz w:val="32"/>
          <w:szCs w:val="32"/>
          <w:cs/>
        </w:rPr>
      </w:pPr>
    </w:p>
    <w:p w:rsidR="00FB0274" w:rsidRPr="00A92C74" w:rsidRDefault="00FB0274" w:rsidP="00FB0274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lastRenderedPageBreak/>
        <w:t>6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FB0274" w:rsidRPr="00A92C74" w:rsidTr="00D126C5">
        <w:trPr>
          <w:trHeight w:val="739"/>
        </w:trPr>
        <w:tc>
          <w:tcPr>
            <w:tcW w:w="2350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FB0274" w:rsidRPr="00A92C74" w:rsidTr="00D126C5">
        <w:trPr>
          <w:trHeight w:val="354"/>
        </w:trPr>
        <w:tc>
          <w:tcPr>
            <w:tcW w:w="2350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A92C7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3x 15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A92C7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A92C7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A92C7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6x 15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FB0274" w:rsidRDefault="00FB0274" w:rsidP="00FB02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0274" w:rsidRDefault="00FB0274" w:rsidP="00FB02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0274" w:rsidRPr="00A92C74" w:rsidRDefault="00FB0274" w:rsidP="00FB027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401"/>
        <w:gridCol w:w="924"/>
        <w:gridCol w:w="71"/>
        <w:gridCol w:w="811"/>
        <w:gridCol w:w="39"/>
        <w:gridCol w:w="2409"/>
        <w:gridCol w:w="992"/>
      </w:tblGrid>
      <w:tr w:rsidR="00FB0274" w:rsidRPr="00A92C74" w:rsidTr="00D126C5">
        <w:trPr>
          <w:tblHeader/>
        </w:trPr>
        <w:tc>
          <w:tcPr>
            <w:tcW w:w="1100" w:type="dxa"/>
            <w:vMerge w:val="restart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401" w:type="dxa"/>
            <w:vMerge w:val="restart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09" w:type="dxa"/>
            <w:vMerge w:val="restart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FB0274" w:rsidRPr="00A92C74" w:rsidTr="00D126C5">
        <w:trPr>
          <w:tblHeader/>
        </w:trPr>
        <w:tc>
          <w:tcPr>
            <w:tcW w:w="1100" w:type="dxa"/>
            <w:vMerge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ปฏิบัติ</w:t>
            </w:r>
          </w:p>
        </w:tc>
        <w:tc>
          <w:tcPr>
            <w:tcW w:w="2409" w:type="dxa"/>
            <w:vMerge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274" w:rsidRPr="00A92C74" w:rsidTr="00D126C5"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แนะนำรายวิชา การจัดการเรียน              การสอน การประเมินผล   </w:t>
            </w:r>
          </w:p>
          <w:p w:rsidR="00FB0274" w:rsidRPr="00A92C74" w:rsidRDefault="00FB0274" w:rsidP="00D126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ความมุ่งหมายความสำคัญและจุดมุ่งหมายของการศึกษา</w:t>
            </w:r>
          </w:p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- กระบวนการจัดการศึกษาตามพ.ร.บ.การศึกษาแห่งชาติ</w:t>
            </w:r>
          </w:p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- วิสัยทัศน์และแผนพัฒนาการศึกษาแห่งชาติของไทย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แนะนำเนื้อหารายวิชา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แนะนำหนังสือ เอกสาร ตำรา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- ร่วมกำหนดข้อตกลงและแนวทางการเรียนการสอน และการประเมินผล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บรรรยาย ดูวีดิทัศน์ ค้นคว้า นำเสนอ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rPr>
          <w:trHeight w:val="1446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ทฤ</w:t>
            </w: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ษฎีหลักสูตร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ความเชื่อพื้นฐานของหลักสูตร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ทฤษฎีหลักสูตรและระบบของหลักสูตร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ความสัมพันธ์ระหว่างหลักสูตรและการสอน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rPr>
          <w:trHeight w:val="1446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ลักสูตรการศึกษาขั้นพื้นฐานและหลักสูตรสถานศึกษา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แนวคิด  และองค์ประกอบของหลักสูตรการศึกษาขั้นพื้นฐาน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หลักสูตรสถานศึกษาและปัญหาเกี่ยวกับหลักสูตรสถานศึกษา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ะบวนการพัฒนาหลักสูตร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พื้นฐานในการพัฒนาหลักสูตร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องค์ประกอบของการพัฒนาหลักสูตร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กระบวนการพัฒนาหลักสูตร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 xml:space="preserve"> ยกตัวอย่างประกอบ อภิปราย นำเสนอ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c>
          <w:tcPr>
            <w:tcW w:w="1100" w:type="dxa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647" w:type="dxa"/>
            <w:gridSpan w:val="7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FB0274" w:rsidRPr="00A92C74" w:rsidTr="00D126C5">
        <w:trPr>
          <w:trHeight w:val="1095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รนำหลักสูตรไปใช้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การวิเคราะห์หลักสูตรและคำอธิบายรายวิชา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การกำหนดผลการเรียนรู้และเนื้อหาสาระ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การทำหน่วยการเรียนรู้แลแผนการจัดการเรียนรู้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 อภิปรายค้นคว้า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rPr>
          <w:trHeight w:val="1095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รประเมินหลักสูตร</w:t>
            </w:r>
          </w:p>
          <w:p w:rsidR="00FB0274" w:rsidRPr="00A92C74" w:rsidRDefault="00FB0274" w:rsidP="00D126C5">
            <w:pPr>
              <w:numPr>
                <w:ilvl w:val="0"/>
                <w:numId w:val="2"/>
              </w:numPr>
              <w:ind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หลักการและวัตถุประสงค์ของการประเมินหลักสูตร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วิธีการและรูปแบบประเมินหลักสูตร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rPr>
          <w:trHeight w:val="1095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ปัญหาเกี่ยวกับหลักสูตรและแนวโน้มหลักสูตร</w:t>
            </w:r>
          </w:p>
          <w:p w:rsidR="00FB0274" w:rsidRPr="00A92C74" w:rsidRDefault="00FB0274" w:rsidP="00D126C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คุณธรรมของนักพัฒนาหลักสูตร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ยกตัวอย่างประกอบ อภิปราย</w:t>
            </w:r>
          </w:p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FB0274" w:rsidRPr="00A92C74" w:rsidTr="00D126C5">
        <w:trPr>
          <w:trHeight w:val="918"/>
        </w:trPr>
        <w:tc>
          <w:tcPr>
            <w:tcW w:w="110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14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3401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ฝึกปฏิบัติการพัฒนาหลักสูตรและนำเสนอ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 xml:space="preserve">ปฏิบัติ ออกแบบนวัตกรรมหลักสูตร 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อภิปราย สะท้อนคิด </w:t>
            </w:r>
          </w:p>
        </w:tc>
        <w:tc>
          <w:tcPr>
            <w:tcW w:w="992" w:type="dxa"/>
            <w:shd w:val="clear" w:color="auto" w:fill="auto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FB0274" w:rsidRPr="00A92C74" w:rsidTr="00D126C5">
        <w:tc>
          <w:tcPr>
            <w:tcW w:w="1100" w:type="dxa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647" w:type="dxa"/>
            <w:gridSpan w:val="7"/>
            <w:vMerge w:val="restart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FB0274" w:rsidRPr="00A92C74" w:rsidTr="00D126C5">
        <w:tc>
          <w:tcPr>
            <w:tcW w:w="1100" w:type="dxa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647" w:type="dxa"/>
            <w:gridSpan w:val="7"/>
            <w:vMerge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B0274" w:rsidRPr="00A92C74" w:rsidTr="00D126C5">
        <w:tc>
          <w:tcPr>
            <w:tcW w:w="4501" w:type="dxa"/>
            <w:gridSpan w:val="2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882" w:type="dxa"/>
            <w:gridSpan w:val="2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440" w:type="dxa"/>
            <w:gridSpan w:val="3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FB0274" w:rsidRPr="00A92C74" w:rsidRDefault="00FB0274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FB0274" w:rsidRPr="00A92C74" w:rsidRDefault="00FB0274" w:rsidP="00FB027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B0274" w:rsidRPr="00A92C74" w:rsidRDefault="00FB0274" w:rsidP="00FB0274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7</w:t>
      </w:r>
      <w:r w:rsidRPr="00A92C74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FB0274" w:rsidRPr="00A92C74" w:rsidTr="00D126C5">
        <w:tc>
          <w:tcPr>
            <w:tcW w:w="738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2002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</w:t>
            </w:r>
          </w:p>
        </w:tc>
        <w:tc>
          <w:tcPr>
            <w:tcW w:w="4087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วิธีประเมิน</w:t>
            </w: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สัดส่วนของการประเมินผล</w:t>
            </w:r>
          </w:p>
        </w:tc>
      </w:tr>
      <w:tr w:rsidR="00FB0274" w:rsidRPr="00A92C74" w:rsidTr="00D126C5">
        <w:tc>
          <w:tcPr>
            <w:tcW w:w="738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ผลการเรียนรู้หัวข้อย่อย แต่ละหัวข้อ ตามที่ปรากฏ            หมวดที่ 4 ข้อ 3             ในเล่ม มคอ.2</w:t>
            </w:r>
          </w:p>
        </w:tc>
        <w:tc>
          <w:tcPr>
            <w:tcW w:w="4087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FB0274" w:rsidRPr="00A92C74" w:rsidTr="00D126C5">
        <w:tc>
          <w:tcPr>
            <w:tcW w:w="738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8, 10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FB0274" w:rsidRPr="00A92C74" w:rsidTr="00D126C5">
        <w:tc>
          <w:tcPr>
            <w:tcW w:w="738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FB0274" w:rsidRPr="00A92C74" w:rsidRDefault="00FB0274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ฝึกปฏิบัติ การนำเสนอ</w:t>
            </w:r>
          </w:p>
        </w:tc>
        <w:tc>
          <w:tcPr>
            <w:tcW w:w="1190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14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FB0274" w:rsidRPr="00A92C74" w:rsidTr="00D126C5">
        <w:tc>
          <w:tcPr>
            <w:tcW w:w="738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FB0274" w:rsidRPr="00A92C74" w:rsidRDefault="00FB0274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การมีส่วนร่วม อภิปราย เสนอความคิดเห็นในชั้นเรียนต่อบทความและวิเคราะห์เอกสารตามภาระงานที่กำหนด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</w:t>
            </w:r>
          </w:p>
        </w:tc>
      </w:tr>
      <w:tr w:rsidR="00FB0274" w:rsidRPr="00A92C74" w:rsidTr="00D126C5">
        <w:tc>
          <w:tcPr>
            <w:tcW w:w="738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FB0274" w:rsidRPr="00A92C74" w:rsidRDefault="00FB0274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FB0274" w:rsidRPr="00A92C74" w:rsidRDefault="00FB0274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30</w:t>
            </w:r>
          </w:p>
        </w:tc>
      </w:tr>
      <w:tr w:rsidR="00FB0274" w:rsidRPr="00A92C74" w:rsidTr="00D126C5">
        <w:tc>
          <w:tcPr>
            <w:tcW w:w="8017" w:type="dxa"/>
            <w:gridSpan w:val="4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FB0274" w:rsidRPr="00A92C74" w:rsidRDefault="00FB0274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100 %</w:t>
            </w:r>
          </w:p>
        </w:tc>
      </w:tr>
    </w:tbl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FB0274" w:rsidRPr="00A92C74" w:rsidRDefault="00FB0274" w:rsidP="00FB0274">
      <w:pPr>
        <w:rPr>
          <w:rFonts w:ascii="TH SarabunPSK" w:hAnsi="TH SarabunPSK" w:cs="TH SarabunPSK"/>
        </w:rPr>
      </w:pPr>
    </w:p>
    <w:p w:rsidR="00A72BB8" w:rsidRDefault="00A72BB8">
      <w:bookmarkStart w:id="0" w:name="_GoBack"/>
      <w:bookmarkEnd w:id="0"/>
    </w:p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E23"/>
    <w:multiLevelType w:val="hybridMultilevel"/>
    <w:tmpl w:val="68A8570A"/>
    <w:lvl w:ilvl="0" w:tplc="61EADEF8">
      <w:start w:val="7"/>
      <w:numFmt w:val="bullet"/>
      <w:lvlText w:val="-"/>
      <w:lvlJc w:val="left"/>
      <w:pPr>
        <w:ind w:left="4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74"/>
    <w:rsid w:val="00A72BB8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0D56-921F-4CF5-BD37-AFD4CF76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7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FB0274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B0274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B02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2023-05-20T07:12:00Z</dcterms:created>
  <dcterms:modified xsi:type="dcterms:W3CDTF">2023-05-20T07:13:00Z</dcterms:modified>
</cp:coreProperties>
</file>