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0B78D8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C5F91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Mathematics</w:t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139"/>
        <w:gridCol w:w="1260"/>
        <w:gridCol w:w="1348"/>
        <w:gridCol w:w="2187"/>
        <w:gridCol w:w="1347"/>
      </w:tblGrid>
      <w:tr w:rsidR="00E93282" w:rsidRPr="008E2A25" w:rsidTr="000F2F05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13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26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F249CB" w:rsidRPr="008E2A25" w:rsidTr="000F2F05">
        <w:tc>
          <w:tcPr>
            <w:tcW w:w="736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39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260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87" w:type="dxa"/>
          </w:tcPr>
          <w:p w:rsidR="00F249CB" w:rsidRPr="000F2F05" w:rsidRDefault="00966524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="00F249CB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347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0F2F05" w:rsidRPr="000F2F05" w:rsidRDefault="00966524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0F2F05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0F2F05" w:rsidRPr="000F2F05" w:rsidRDefault="00966524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0F2F05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272F3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bookmarkStart w:id="0" w:name="_GoBack"/>
      <w:bookmarkEnd w:id="0"/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0B78D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8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966524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966524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966524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966524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0B78D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B42865">
        <w:rPr>
          <w:rFonts w:ascii="TH SarabunPSK" w:hAnsi="TH SarabunPSK" w:cs="TH SarabunPSK"/>
          <w:sz w:val="32"/>
          <w:szCs w:val="32"/>
          <w:cs/>
        </w:rPr>
        <w:t>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องค์ประกอบของอัตลักษณ์ครู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พรรณนาอัตลักษณ์ตนเองในฐานะครู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กระบวนการหล่อหลอมอัตลักษณ์ความเป็นครู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สร้างและออกแบบอัตลักษณ์ตนเองในฐานะครู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F249CB" w:rsidRPr="00F249CB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</w:t>
      </w:r>
      <w:r w:rsidR="00F249CB" w:rsidRPr="00F249C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 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คณิตศาสตร์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และร่วมสังเกตชั้นเรียน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กระบวนการหล่อหลอมอัตลักษณ์ความเป็นครู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คณิตศาสตร์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F249CB" w:rsidRPr="00F249C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</w:t>
      </w:r>
      <w:r w:rsidR="00F249CB" w:rsidRPr="00F249C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เปรมประยูร</w:t>
      </w:r>
      <w:r w:rsidR="00F249C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สาขาการสอน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คณะศึกษาศาสตร์ 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ห้อง 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ED 234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0F2F05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้าใจของครู่</w:t>
            </w:r>
            <w:r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5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วิเคราะหื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24" w:rsidRDefault="00966524">
      <w:r>
        <w:separator/>
      </w:r>
    </w:p>
  </w:endnote>
  <w:endnote w:type="continuationSeparator" w:id="0">
    <w:p w:rsidR="00966524" w:rsidRDefault="0096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4A2ADFF3-FC1A-4947-A502-5C151DC43008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C64C6F5-124A-4419-BA77-0D0F094EE7BE}"/>
    <w:embedBold r:id="rId3" w:fontKey="{8A169E7E-55B7-4C1E-B2A6-82EBF44C0773}"/>
    <w:embedItalic r:id="rId4" w:fontKey="{E82840F1-A264-4449-BDEA-798F3FC3FBE2}"/>
    <w:embedBoldItalic r:id="rId5" w:fontKey="{861002D2-B052-431C-8154-C44B9979990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A98BC422-5648-49BA-B4CD-89EC143539C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9139CA2-1D3C-4B7A-A16F-F40F8EA45AE0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24" w:rsidRDefault="00966524">
      <w:r>
        <w:separator/>
      </w:r>
    </w:p>
  </w:footnote>
  <w:footnote w:type="continuationSeparator" w:id="0">
    <w:p w:rsidR="00966524" w:rsidRDefault="00966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4515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</w:t>
          </w:r>
          <w:r w:rsidR="000F2F05">
            <w:rPr>
              <w:rFonts w:ascii="TH SarabunPSK" w:hAnsi="TH SarabunPSK" w:cs="TH SarabunPSK"/>
              <w:szCs w:val="22"/>
              <w:cs/>
            </w:rPr>
            <w:t>คณิตศาสตร์</w:t>
          </w:r>
          <w:r>
            <w:rPr>
              <w:rFonts w:ascii="TH SarabunPSK" w:hAnsi="TH SarabunPSK" w:cs="TH SarabunPSK" w:hint="cs"/>
              <w:szCs w:val="22"/>
              <w:cs/>
            </w:rPr>
            <w:t>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 w:rsidR="000F2F05">
            <w:rPr>
              <w:rFonts w:ascii="TH SarabunPSK" w:hAnsi="TH SarabunPSK" w:cs="TH SarabunPSK"/>
              <w:szCs w:val="22"/>
            </w:rPr>
            <w:t>28</w:t>
          </w:r>
        </w:p>
      </w:tc>
      <w:tc>
        <w:tcPr>
          <w:tcW w:w="4814" w:type="dxa"/>
        </w:tcPr>
        <w:p w:rsidR="00203495" w:rsidRPr="007A2143" w:rsidRDefault="00203495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>อัตลักษณ์ครูคณิตศาสตร์</w:t>
          </w:r>
        </w:p>
      </w:tc>
    </w:tr>
  </w:tbl>
  <w:p w:rsidR="00203495" w:rsidRPr="00B7254E" w:rsidRDefault="00966524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96652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966524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B78D8"/>
    <w:rsid w:val="000E6380"/>
    <w:rsid w:val="000F2F05"/>
    <w:rsid w:val="000F678D"/>
    <w:rsid w:val="00101CE0"/>
    <w:rsid w:val="00155C86"/>
    <w:rsid w:val="00165617"/>
    <w:rsid w:val="00197C3E"/>
    <w:rsid w:val="001A7840"/>
    <w:rsid w:val="001C53AD"/>
    <w:rsid w:val="001D1D78"/>
    <w:rsid w:val="001D2E7D"/>
    <w:rsid w:val="001E283A"/>
    <w:rsid w:val="001E364F"/>
    <w:rsid w:val="00203495"/>
    <w:rsid w:val="00225DE1"/>
    <w:rsid w:val="00243D8B"/>
    <w:rsid w:val="00250729"/>
    <w:rsid w:val="00265888"/>
    <w:rsid w:val="00272424"/>
    <w:rsid w:val="00272F31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B0169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66524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60763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C5F91"/>
    <w:rsid w:val="00BF0AE1"/>
    <w:rsid w:val="00C62925"/>
    <w:rsid w:val="00CA4C3D"/>
    <w:rsid w:val="00CC6622"/>
    <w:rsid w:val="00CF5558"/>
    <w:rsid w:val="00D0578C"/>
    <w:rsid w:val="00D203D0"/>
    <w:rsid w:val="00D338B0"/>
    <w:rsid w:val="00D546C0"/>
    <w:rsid w:val="00D905DE"/>
    <w:rsid w:val="00D94689"/>
    <w:rsid w:val="00D949AC"/>
    <w:rsid w:val="00DA0D6C"/>
    <w:rsid w:val="00DA2866"/>
    <w:rsid w:val="00DB7B59"/>
    <w:rsid w:val="00DD229E"/>
    <w:rsid w:val="00DD2F8E"/>
    <w:rsid w:val="00DE277E"/>
    <w:rsid w:val="00E04FC9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249CB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3DD6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E547F-94C2-4F11-945D-77E0C8F5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1969</Words>
  <Characters>11227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3</cp:revision>
  <cp:lastPrinted>2022-06-29T09:34:00Z</cp:lastPrinted>
  <dcterms:created xsi:type="dcterms:W3CDTF">2024-06-24T05:14:00Z</dcterms:created>
  <dcterms:modified xsi:type="dcterms:W3CDTF">2024-06-24T05:40:00Z</dcterms:modified>
</cp:coreProperties>
</file>